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B06D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Задача  № 1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DD">
        <w:rPr>
          <w:rFonts w:ascii="Times New Roman" w:hAnsi="Times New Roman" w:cs="Times New Roman"/>
          <w:sz w:val="24"/>
          <w:szCs w:val="24"/>
        </w:rPr>
        <w:t>Происходит ядерный инцидент на территории Ионийской Республики, являющейся членом Венской конвенции о гражданской ответственности за ядерный ущерб от 21 мая 1963 года, Протокола 1997 года к ней, а также Совместного протокола о применении Венской конвенции и Парижской конвенции 1988 года.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Ионийская Республика граничит с Российской Федерацией и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Заунскими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Штатами, которые являются членом Парижской конвенции об ответственности перед третьей стороной в области ядерной энергии 1960 года и Совместного протокола. В результате ядерного инцидента на АЭС причинен ядерный ущерб на территории всех указанных государств. 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5"/>
        </w:numPr>
        <w:spacing w:after="200" w:line="276" w:lineRule="auto"/>
        <w:ind w:left="28" w:firstLine="14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Подлежит ли возмещению ядерный ущерб на территории: а) Российской Федерации? б) Ионийской Республики? в)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Заунскими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Штатами?</w:t>
      </w:r>
    </w:p>
    <w:p w:rsidR="00AF7536" w:rsidRPr="001B06DD" w:rsidRDefault="00AF7536" w:rsidP="00AF7536">
      <w:pPr>
        <w:pStyle w:val="a3"/>
        <w:ind w:left="42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numPr>
          <w:ilvl w:val="0"/>
          <w:numId w:val="5"/>
        </w:numPr>
        <w:spacing w:after="200" w:line="276" w:lineRule="auto"/>
        <w:ind w:left="14" w:firstLine="14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В судах каких государств могут рассматриваться иски о возмещении ядерного ущерба на их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конвенция подлежит применению? </w:t>
      </w:r>
    </w:p>
    <w:p w:rsidR="00AF7536" w:rsidRPr="001B06DD" w:rsidRDefault="00AF7536" w:rsidP="00AF7536">
      <w:pPr>
        <w:pStyle w:val="a3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numPr>
          <w:ilvl w:val="0"/>
          <w:numId w:val="5"/>
        </w:numPr>
        <w:spacing w:after="0" w:line="276" w:lineRule="auto"/>
        <w:ind w:left="14" w:firstLine="14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Какие виды ущерба подлежат компенсации в каждой из стран?</w:t>
      </w:r>
    </w:p>
    <w:p w:rsidR="00AF7536" w:rsidRPr="001B06DD" w:rsidRDefault="00AF7536" w:rsidP="00AF7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spacing w:after="0" w:line="276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spacing w:after="0" w:line="276" w:lineRule="auto"/>
        <w:ind w:lef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AF7536" w:rsidRPr="001B06DD" w:rsidRDefault="00AF7536" w:rsidP="00AF7536">
      <w:pPr>
        <w:pStyle w:val="a3"/>
        <w:spacing w:after="0" w:line="276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ind w:left="14" w:firstLine="14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Демасийского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Королевства (далее - ДК) находится фабрика по производству очень востребованных в регионе лекарственных средств. Фабрика находится на небольшом (~1 км) удалении от границы королевства с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Ноксианской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Федерацией (далее - НФ), на территории которой расположен Центр ядерной науки и технологий (далее - ЦЯНТ). В данном центре в медицинских целях используются только такие радиоизотопы, которые достигли окончательной стадии изготовления. Указанные радиоизотопы в течение последнего года поставлялись в ЦЯНТ  по дороге, которая проходит в непосредственной близости от границы (~1 км) с ДК. </w:t>
      </w:r>
    </w:p>
    <w:p w:rsidR="00AF7536" w:rsidRPr="001B06DD" w:rsidRDefault="00AF7536" w:rsidP="00AF7536">
      <w:pPr>
        <w:ind w:left="14" w:firstLine="14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Также, в течение последнего года резко ухудшилось качество производимой на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фабрике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на территории ДК популярной вакцины </w:t>
      </w:r>
      <w:r w:rsidRPr="001B06DD">
        <w:rPr>
          <w:rFonts w:ascii="Times New Roman" w:hAnsi="Times New Roman" w:cs="Times New Roman"/>
          <w:sz w:val="24"/>
          <w:szCs w:val="24"/>
          <w:lang w:val="en-US"/>
        </w:rPr>
        <w:t>DIVOC</w:t>
      </w:r>
      <w:r w:rsidRPr="001B06DD">
        <w:rPr>
          <w:rFonts w:ascii="Times New Roman" w:hAnsi="Times New Roman" w:cs="Times New Roman"/>
          <w:sz w:val="24"/>
          <w:szCs w:val="24"/>
        </w:rPr>
        <w:t xml:space="preserve"> – 18. НФ и ДК являются членами Венской конвенции о гражданской ответственности за ядерный ущерб от 21 мая 1963 года и Протокола 1997 года к ней. </w:t>
      </w:r>
    </w:p>
    <w:p w:rsidR="00AF7536" w:rsidRPr="001B06DD" w:rsidRDefault="00AF7536" w:rsidP="00AF7536">
      <w:pPr>
        <w:ind w:left="14" w:firstLine="14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Руководство фабрики, получив информацию о том, что некоторые исследования связывают ухудшение качества вакцин с ядерным ущербом, наняло Вас, как эксперта, чтобы определить возможность причинения такого ядерного ущерба со стороны ЦЯНТ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36" w:rsidRPr="001B06DD" w:rsidRDefault="00AF7536" w:rsidP="00AF7536">
      <w:pPr>
        <w:ind w:left="14"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Какие нормы права подлежат применению?</w:t>
      </w:r>
    </w:p>
    <w:p w:rsidR="00AF7536" w:rsidRPr="001B06DD" w:rsidRDefault="00AF7536" w:rsidP="00AF75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Существует ли возможность причинения такого ядерного ущерба со стороны ЦЯНТ, расположенного на территории НФ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7536" w:rsidRPr="001B06DD" w:rsidRDefault="00AF7536" w:rsidP="00AF7536">
      <w:pPr>
        <w:pStyle w:val="a3"/>
        <w:spacing w:after="0" w:line="276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lastRenderedPageBreak/>
        <w:t>Задача № 3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Энергопотреб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является потребителем услуги по передаче электрической энергии. За услуги, оказанные в апреле 2020, Компания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Энергопотреб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произвела оплату с просрочкой в </w:t>
      </w:r>
      <w:r w:rsidRPr="001B06DD">
        <w:rPr>
          <w:rFonts w:ascii="Times New Roman" w:hAnsi="Times New Roman" w:cs="Times New Roman"/>
          <w:sz w:val="24"/>
          <w:szCs w:val="24"/>
        </w:rPr>
        <w:br/>
        <w:t xml:space="preserve">15 дней. Электросетевая компания направила в адрес Компании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Энергопотреб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 претензию с требованием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оплатить неустойку за просрочку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исполнения обязательств, предусмотренную договором оказания услуг по передаче электрической энергии. Компания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Энергопотреб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 отказалась от удовлетворения требований по претензии со ссылкой на тот факт, что материнская компания, к группе которой принадлежит Компания 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Энергопотреб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, входит в перечень, утвержденный Указом Президента Российской Федерации от </w:t>
      </w:r>
      <w:r w:rsidRPr="001B06DD">
        <w:rPr>
          <w:rFonts w:ascii="Times New Roman" w:hAnsi="Times New Roman" w:cs="Times New Roman"/>
          <w:sz w:val="24"/>
          <w:szCs w:val="24"/>
        </w:rPr>
        <w:br/>
        <w:t xml:space="preserve">4 августа 2004 г. № 1009 «Об утверждении перечня стратегических предприятий и стратегических акционерных обществ». Компания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Энергопотреб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 и Электросетевая компания обратились к эксперту для уточнения перспективы разрешения спора в судебном порядке.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На каких нормах права основывается позиция Компании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Энергопотреб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.</w:t>
      </w:r>
    </w:p>
    <w:p w:rsidR="00AF7536" w:rsidRPr="001B06DD" w:rsidRDefault="00AF7536" w:rsidP="00AF75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На каких нормах права основана позиция Электросетевой компании.</w:t>
      </w:r>
    </w:p>
    <w:p w:rsidR="00AF7536" w:rsidRPr="001B06DD" w:rsidRDefault="00AF7536" w:rsidP="00AF75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Какое заключение подготовите Вы, как эксперт</w:t>
      </w:r>
      <w:r w:rsidRPr="001B06DD">
        <w:rPr>
          <w:rFonts w:ascii="Times New Roman" w:hAnsi="Times New Roman" w:cs="Times New Roman"/>
          <w:b/>
          <w:sz w:val="24"/>
          <w:szCs w:val="24"/>
        </w:rPr>
        <w:t>.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6DD">
        <w:rPr>
          <w:rFonts w:ascii="Times New Roman" w:hAnsi="Times New Roman" w:cs="Times New Roman"/>
          <w:b/>
          <w:bCs/>
          <w:sz w:val="24"/>
          <w:szCs w:val="24"/>
        </w:rPr>
        <w:t xml:space="preserve">Задача № 4 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В рамках внешнеторгового контракта, заключенного между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(Продавец) и немецкой (Покупатель) компаниями, в марте 2017 года Продавец осуществил поставку российского природного газа на экспорт в объеме 1 000 м</w:t>
      </w:r>
      <w:r w:rsidRPr="001B06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B06DD">
        <w:rPr>
          <w:rFonts w:ascii="Times New Roman" w:hAnsi="Times New Roman" w:cs="Times New Roman"/>
          <w:sz w:val="24"/>
          <w:szCs w:val="24"/>
        </w:rPr>
        <w:t xml:space="preserve">. В целях таможенного оформления указанной поставки Продавцом в феврале 2017 года была подана в таможенный орган временная таможенная декларация (ВТД), а в апреле 2017 года – полная таможенная декларация (ПВД). В качестве основы для расчета таможенной стоимости и уплаты таможенной пошлины по ПВД, Продавцом была использована стоимость сделки, установленная контрагентами в соответствии с условиями внешнеторгового контракта. Заявленная Продавцом таможенная стоимость составила 100 000 рублей и была принята таможенным органом. Таможенная пошлина была уплачена Продавцом одновременно с подачей ПВД. Товар в рамках ПВД был выпущен таможенным органом. В январе 2020 года между Продавцом и Покупателем было заключено дополнительное соглашение к контракту, по условиям которого стоимость сделки по поставке марта 2017 года была увеличена на 20 000 рублей и составила 120 000 рублей. В связи с изменением стоимости сделки Продавец направил в таможенный орган обращение о корректировке таможенной стоимости в ПВД и одновременно доплатил таможенную пошлину в соответствии с пересмотренной стоимостью сделки. По итогу рассмотрения обращения Продавца, в феврале 2020 года таможенным органом была скорректирована ПВД. После произведенной Продавцом доплаты таможенной пошлины, таможенный орган в мае 2020 года направил Продавцу уведомление о начислении пени в связи с несвоевременной уплатой таможенной пошлины в рамках ПВД.  Пени были начислены на сумму 20 000 рублей за период с момента уплаты таможенной пошлины по ПВД до момента подачи Продавцом обращения в 2020 году и доплаты таможенной </w:t>
      </w:r>
      <w:r w:rsidRPr="001B06DD">
        <w:rPr>
          <w:rFonts w:ascii="Times New Roman" w:hAnsi="Times New Roman" w:cs="Times New Roman"/>
          <w:sz w:val="24"/>
          <w:szCs w:val="24"/>
        </w:rPr>
        <w:lastRenderedPageBreak/>
        <w:t xml:space="preserve">пошлины. Продавец обратился в арбитражный суд с заявлением о признании недействительным указанного уведомления таможенного органа. 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6DD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Каков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сроки уплаты экспортной таможенной пошлины установлены законодательством о таможенном регулировании в случае использования временного периодического декларирования при поставках природного газа на экспорт трубопроводным транспортом? </w:t>
      </w:r>
    </w:p>
    <w:p w:rsidR="00AF7536" w:rsidRPr="001B06DD" w:rsidRDefault="00AF7536" w:rsidP="00AF7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В чем заключается правовая природа пени, как платежа в бюджет?</w:t>
      </w:r>
    </w:p>
    <w:p w:rsidR="00AF7536" w:rsidRPr="001B06DD" w:rsidRDefault="00AF7536" w:rsidP="00AF7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Укажите, какие аргументы могут быть использованы Продавцом для обоснования позиции в арбитражном суде? </w:t>
      </w:r>
    </w:p>
    <w:p w:rsidR="00AF7536" w:rsidRPr="001B06DD" w:rsidRDefault="00AF7536" w:rsidP="00AF75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Повлияет ли на решение задачи наличие в бюджете излишне уплаченных авансовых/таможенных платежей у Продавца? Почему?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 5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Организация ООО «Нефть и Газ» является заказчиком строительства магистрального газопровода. ООО «Нефть и Газ» заключило договор генерального подряда с ООО «Альф». Договором предусмотрено, что заказчик не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чем за 7 дней до начала работ обязан заключить договор страхования строительно-монтажных рисков. Договор страхования должен быть заключен в пользу заказчика и генподрядчика, в отношении той части застрахованного имущества и/или работ, по которой они несут риск гибели, утраты или повреждения. Подрядчик своевременно не произвел страхование строительно-монтажных рисков, но поставил на строительную площадку оборудование для осуществления строительно-монтажных работ. В  период, когда полис не был заключен, оборудование с площадки исчезло. ООО «Альф» обратилось к эксперту за консультацией о распределении ответственности 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Какие нормы права подлежат применению в данной ситуации.</w:t>
      </w:r>
    </w:p>
    <w:p w:rsidR="00AF7536" w:rsidRPr="001B06DD" w:rsidRDefault="00AF7536" w:rsidP="00AF75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Какое заключение предоставите Вы, как эксперт.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6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Акционерное общество «Химический завод» имеет в собственности ядерную установку, ранее используемую при переработке урана и представляющую собой здание и находящееся в нем оборудование (в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. коммуникации). В связи с прекращением деятельности по переработке урана предприятие планирует вывести установку из эксплуатации, для чего передать данную установку Российской Федерации в лице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с последующей передачей установки в хозяйственное ведение ФГУП «Радиус» - предприятию, специализирующемуся на осуществлении деятельности по выводу ядерных установок из эксплуатации, деактивации зданий и сооружений и пр. В целях реализации намерений предприятия составили план мероприятий.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При проведении прокурорской проверки соблюдения требований федерального законодательства на объектах использования атомной энергии надзирающим прокурором </w:t>
      </w:r>
      <w:r w:rsidRPr="001B06DD">
        <w:rPr>
          <w:rFonts w:ascii="Times New Roman" w:hAnsi="Times New Roman" w:cs="Times New Roman"/>
          <w:sz w:val="24"/>
          <w:szCs w:val="24"/>
        </w:rPr>
        <w:lastRenderedPageBreak/>
        <w:t xml:space="preserve">вынесено предостережение о недопустимости нарушения законодательства при передаче ядерной установки ФГУП «Радиус». В своем предостережении прокурор указывает, что ФГУП «Радиус» отсутствует в перечне российских юридических лиц, утвержденном Указом Президента РФ № 556 от 27.04.2007, в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с чем ядерная установка не может быть ему передана. ФГУП «Радиус» обратилось к эксперту, чтобы уточнить свою правовую позицию.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1B06DD">
        <w:rPr>
          <w:rFonts w:ascii="Times New Roman" w:hAnsi="Times New Roman" w:cs="Times New Roman"/>
          <w:sz w:val="24"/>
          <w:szCs w:val="24"/>
        </w:rPr>
        <w:t>:</w:t>
      </w:r>
    </w:p>
    <w:p w:rsidR="00AF7536" w:rsidRPr="001B06DD" w:rsidRDefault="00AF7536" w:rsidP="00AF75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Какими  нормативными правовыми актами будет руководствоваться эксперт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2.           Обосновано ли предостережение  прокурора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ПАО «Петролеум» (далее – Общество) занимается добычей нефти и газа на участках недр в Западной Сибири.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После проверки (акт проверки от 15.01.2020) деятельности Общества Управлением Федеральной службы по надзору в сфере природопользования на участке недр «Удачный» (запасы нефти – 40 миллионов тонн), были выявлены следующие нарушения: несоблюдение объемов добычи нефти в нарушение технологической схемы разработки, согласованной в установленном порядке, более чем на 50%. Установлено, что за 2019 год добыто углеводородного сырья (нефти) 200 тысяч тонн, при установленных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в проектной документации значениях – 500 тысяч тонн.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выдано предписание в адрес Общества об устранении указанных нарушений. Информация о нарушении направлена письмом (представлением) в Федеральное агентство по недропользованию. Комиссией по досрочному прекращению права пользования недрами Федерального агентства по недропользованию на заседании от 02.02.2020 Обществу было рекомендовано направить уведомление о допущенных нарушениях условий пользования недрами в части уровней добычи углеводородного сырья, сроком на 6 месяцев с момента получения этого уведомления. В уведомлении указывалось на возможность прекращения права пользования недрами, в случае не устранения указанных нарушений. Обществом получено уведомление 20.02.2020 и принято решение о перераспределении добывающих мощностей с других лицензионных участков, мобилизации людских ресурсов и техники с целью приведения уровней добычи в соответствии с проектной документацией на 2020 год.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Однако в апреле-июле 2020 года в связи с принятием мер по противодействию распространению на территории Российской Федерации новой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1B06D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B06DD">
        <w:rPr>
          <w:rFonts w:ascii="Times New Roman" w:hAnsi="Times New Roman" w:cs="Times New Roman"/>
          <w:sz w:val="24"/>
          <w:szCs w:val="24"/>
        </w:rPr>
        <w:t>-19) Общество фактически не могло проводить работы на участке недр. Так, в связи с объявлением государственными органами режима повышенной готовности на период до особого решения с учетом состояния эпидемиологической обстановки, режима обязательной самоизоляции предприятием взято под контроль и ограничено передвижение вахтового персонала районах осуществления деятельности Общества.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13.08.2020 Управлением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проведена внеплановая документарная проверка исполнения Обществом предписания о нарушении условий пользования недрами по лицензии на участке недр «Удачный» в части приведения уровней объемов добычи в соответствие с проектной документацией. Установлено, что уровни добычи на участке недр «Удачный» составляют 70% от установленных в технологической схеме разработки участка по состоянию за 8 месяцев 2020 года.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lastRenderedPageBreak/>
        <w:t>25.08.2020 на очередном заседании Комиссии Федерального агентства по недропользованию по досрочному прекращению права пользования недрами было рекомендовано прекратить право пользования недрами на участке «Удачный» для ПАО «Петролеум», а соответствующую лицензию аннулировать. Приказом Федерального агентства по недропользованию от 28.08.2020 № 66 право пользования недрами было прекращено.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1) Какие нормативные правовые акты регулируют процедуру досрочного прекращения права пользования недрами? Можно ли оспорить приказ о досрочном прекращении права пользования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недрами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порядке?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2) Что должно содержать уведомление о допущенных нарушениях права пользования недрами? Какой срок может установить государственный орган для устранения нарушений, указанных в уведомлении о допущенных нарушениях?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3) Правомерно ли то, что право пользования недрами ПАО «Петролеум» на участке недр было досрочно прекращено? Должны ли были государственные органы учитывать ситуацию с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инфекцией? 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8.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Нефтепоиск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(далее – Общество) занимается геологоразведочными работами на нефтегазовые ресурсы. Обществом была получена лицензия на пользование недрами участка «Перспективный» с целью поисков и оценки запасов углеводородного сырья. Обществом для проведения работ по поиску и оценке углеводородного сырья на участке недр «Перспективный» разработана проектная документация «Проект поисков и оценки углеводородного сырья на участке недр «Перспективный». В ней предусмотрено проведение сейсморазведочных работ, а также бурение одной поисково-оценочной скважины глубиной 3000 м. Общая предполагаемая стоимость работ составила 355 000 000,00 рублей.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Указанная проектная документация была направлена Обществом в специализированное государственное учреждение, занимающееся экспертизой проектной документации на проведение работ по геологическому изучению недр. В ходе проведения экспертизы проектной документации экспертами выявлены значительные нарушения в методике проведения работ, технологии их производства, а также нарушения условий пользования недрами: по лицензии работы должны быть завершены до 31.12.2023 года, тогда как проектной документации срок завершения работ был установлен – 31.12.2025. В результате Обществу было направлено отрицательное заключение экспертизы.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Получив указанное отрицательное заключение,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приняло решение обратиться в частную организацию ООО «Эксперт-экспресс» с целью получения заключения на проектную документацию. Согласно договору на проведение экспертизы стоимость экспертизы составила 2 000 000,00 рублей. В ходе проведения экспертизы в частной организации никаких замечаний у экспертов к проектной документации не оказалось, в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с чем Обществу было направлено положительное заключение экспертизы. Общество мобилизовало сейсмические партии, подготовило сейсмические оборудование и начало проведение работ. В последующем Обществом начато бурение скважины.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lastRenderedPageBreak/>
        <w:t>1) В каком нормативном правовом  акте установлены основные требования к проведению геологического изучения недр? Обязательна ли экспертиза проектной документации на проведение работ по геологическому изучению недр?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2) В каком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учреждениями может проводиться экспертиза проектной документации на геологическое изучение недр? Установлена ли ее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условий она зависит? Можно ли обратиться за экспертизой проектной документации на геологическое изучение недр в негосударственную организацию, и какие, в таком случае, к ней предъявляются требования?</w:t>
      </w:r>
    </w:p>
    <w:p w:rsidR="00AF7536" w:rsidRPr="001B06DD" w:rsidRDefault="00AF7536" w:rsidP="00A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3)  Правомерно ли начало проведения Обществом полевых работ на участке недр? В случае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если правомерно, обоснуйте ответ со ссылками на нормативные правовые акты. В случае если неправомерно, какая ответственность предусмотрена за указанные действия?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06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 №  9.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6DD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Территориальной сетевой организации поступило предложение о приобретении двух солнечных электростанций: одной  - с максимальной мощностью до 15 кВт</w:t>
      </w:r>
      <w:proofErr w:type="gramStart"/>
      <w:r w:rsidRPr="001B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Pr="001B06DD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- с максимальной мощностью до 25 кВт. Организация обратилась к эксперту для принятия решения о заключении контракта, чтобы уточнить имеются ли особенности правового регулирования использования указанных объектов.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FFFFFF"/>
        </w:rPr>
      </w:pPr>
      <w:r w:rsidRPr="001B06DD">
        <w:rPr>
          <w:rFonts w:ascii="Times New Roman" w:hAnsi="Times New Roman" w:cs="Times New Roman"/>
          <w:b/>
          <w:color w:val="414141"/>
          <w:sz w:val="24"/>
          <w:szCs w:val="24"/>
          <w:shd w:val="clear" w:color="auto" w:fill="FFFFFF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Какими нормативными правовыми актами регулируется использование объектов, функционирующих на основе возобновляемых источников энергии?</w:t>
      </w:r>
    </w:p>
    <w:p w:rsidR="00AF7536" w:rsidRPr="001B06DD" w:rsidRDefault="00AF7536" w:rsidP="00AF7536">
      <w:pPr>
        <w:pStyle w:val="a3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Имеются ли особенности в правовом регулировании использования  генерирующих  объектов, функционирующих на основе возобновляемых источников энергии </w:t>
      </w:r>
      <w:r w:rsidRPr="001B06DD">
        <w:rPr>
          <w:rFonts w:ascii="Times New Roman" w:hAnsi="Times New Roman" w:cs="Times New Roman"/>
          <w:sz w:val="24"/>
          <w:szCs w:val="24"/>
          <w:shd w:val="clear" w:color="auto" w:fill="FFFFFF"/>
        </w:rPr>
        <w:t>с максимальной мощностью до 15 кВт и объектов,</w:t>
      </w:r>
      <w:r w:rsidRPr="001B06DD">
        <w:rPr>
          <w:rFonts w:ascii="Times New Roman" w:hAnsi="Times New Roman" w:cs="Times New Roman"/>
          <w:sz w:val="24"/>
          <w:szCs w:val="24"/>
        </w:rPr>
        <w:t xml:space="preserve"> функционирующих на основе возобновляемых источников энергии </w:t>
      </w:r>
      <w:r w:rsidRPr="001B06DD">
        <w:rPr>
          <w:rFonts w:ascii="Times New Roman" w:hAnsi="Times New Roman" w:cs="Times New Roman"/>
          <w:sz w:val="24"/>
          <w:szCs w:val="24"/>
          <w:shd w:val="clear" w:color="auto" w:fill="FFFFFF"/>
        </w:rPr>
        <w:t>с максимальной мощностью до 25 кВт</w:t>
      </w:r>
      <w:proofErr w:type="gramStart"/>
      <w:r w:rsidRPr="001B0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B06D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F7536" w:rsidRPr="001B06DD" w:rsidRDefault="00AF7536" w:rsidP="00AF75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10</w:t>
      </w:r>
    </w:p>
    <w:p w:rsidR="00AF7536" w:rsidRPr="001B06DD" w:rsidRDefault="00AF7536" w:rsidP="00AF7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Между гражданином Ивановым И.И. и гарантирующим поставщиком заключен договор купли-продажи электрической энергии.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устройства гражданина Иванова И.И. непосредственно присоединены к объектам электросетевого хозяйства сетевой компании, которая оказывает в данном регионе услуги по передаче электрической энергии. В результате отключения электроэнергии в доме гражданина Иванова И.И. была повреждена бытовая электротехника. Гражданин Иванов И.И. обратился к эксперту-консультанту  для уточнения своих прав и порядка их защиты.</w:t>
      </w:r>
    </w:p>
    <w:p w:rsidR="00AF7536" w:rsidRPr="001B06DD" w:rsidRDefault="00AF7536" w:rsidP="00AF7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Какие организации несут ответственность за надежное обеспечение электрической энергией и ее качество? В каких нормативных правовых актах это закреплено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7536" w:rsidRPr="001B06DD" w:rsidRDefault="00AF7536" w:rsidP="00AF75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 какой организации следует предъявить иск о взыскании ущерба?</w:t>
      </w:r>
    </w:p>
    <w:p w:rsidR="00AF7536" w:rsidRPr="001B06DD" w:rsidRDefault="00AF7536" w:rsidP="00AF75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В случае  если иск будет предъявлен к гарантирующему поставщику и исковые требования будут удовлетворены, имеет ли право гарантирующий поставщик требовать у сетевой компании возместить убытки в порядке регресса?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11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Поставщик нефтепродуктов собирается заключить договор поставки в ходе биржевых торгов в Секции  «Нефтепродукты» АО «Санкт-Петербургская Международная Товарно-Сырьевая Биржа» на условиях «франко-труба». Вас наняли как консультанта для правового сопровождения поставки, так как у руководства компании Поставщика возникли вопросы о правах и обязанностях Поставщика в случае, если организация транспортировки нефтепродуктов по системе магистральных нефтепродуктопроводов будет возлагаться на Поставщика</w:t>
      </w:r>
      <w:r w:rsidRPr="001B06D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F7536" w:rsidRPr="001B06DD" w:rsidRDefault="00AF7536" w:rsidP="00AF7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Каким актом Биржи установлены особенности поставки нефтепродуктов на условиях «франко-труба»?</w:t>
      </w:r>
    </w:p>
    <w:p w:rsidR="00AF7536" w:rsidRPr="001B06DD" w:rsidRDefault="00AF7536" w:rsidP="00AF7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Должен ли быть заключен договор об оказании услуг по транспортировке нефтепродуктов? Если да, то с кем заключается такой договор? </w:t>
      </w:r>
    </w:p>
    <w:p w:rsidR="00AF7536" w:rsidRPr="001B06DD" w:rsidRDefault="00AF7536" w:rsidP="00AF753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 определяется расчетная стоимость услуг Поставщика, связанных с транспортировкой нефтепродуктов по системе магистральных нефтепродуктопроводов?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12</w:t>
      </w:r>
    </w:p>
    <w:p w:rsidR="00AF7536" w:rsidRPr="001B06DD" w:rsidRDefault="00AF7536" w:rsidP="00AF753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DD">
        <w:rPr>
          <w:rFonts w:ascii="Times New Roman" w:hAnsi="Times New Roman" w:cs="Times New Roman"/>
          <w:sz w:val="24"/>
          <w:szCs w:val="24"/>
        </w:rPr>
        <w:t>ТСЖ «Огонь», ТСЖ «Лед», ТСЖ «Ветер» обратились в Арбитражный суд г. Новосибирска с заявлением  к Администрации города Новосибирска и Минэнерго России о признании незаконным действия (решения) главы администрации г. Новосибирска о направлении проекта актуализированной схемы теплоснабжения г. Новосибирска на период до 2030 года для утверждения в Минэнерго России, принятого в составе актуализированной схемы теплоснабжения города Новосибирска на период до 2030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В обоснование требований заявители указывают, что актуализированная схема теплоснабжения города Новосибирска на период до 2030 года, разработанная администрацией города Новосибирска и утвержденная Приказом Минэнерго России № 418 от 26 июня 2015 года, не соответствует законодательству в сфере теплоснабжения и нарушает права и законные интересы заявителей в сфере экономической деятельности, гарантированные Конституцией РФ, законами и другими нормативными правовыми актами Российской Федерации. </w:t>
      </w:r>
      <w:proofErr w:type="gramEnd"/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В обоснование требований также указывается  на нарушение главой администрации города Новосибирска норм права, поскольку на утверждение в Минэнерго России был направлен документ, который не был опубликован на сайте администрации города Новосибирска и не выносился на публичные слушания. По итогам первых публичных слушаний было принято решение о направлении проекта схемы на доработку, в связи с замечаниями, предоставленными застройщиками. По результатам рассмотрения проекта схемы, доработанного с учетом замечаний, представленных на первых публичных слушаниях, были назначены повторные публичные слушания. По результатам повторных публичных слушаний было принято решение о направлении проекта схемы, с учетом замечаний и предложений, представленных на повторных публичных слушаниях, для утверждения в министерство. Рассмотрев проект актуализированной схемы теплоснабжения, министерство возвратило проект схемы на доработку. Комиссия </w:t>
      </w:r>
      <w:r w:rsidRPr="001B06DD">
        <w:rPr>
          <w:rFonts w:ascii="Times New Roman" w:hAnsi="Times New Roman" w:cs="Times New Roman"/>
          <w:sz w:val="24"/>
          <w:szCs w:val="24"/>
        </w:rPr>
        <w:lastRenderedPageBreak/>
        <w:t>Минэнерго рекомендовала утвердить проект после доработки по перечисленным замечаниям без повторного рассмотрения на комиссии.</w:t>
      </w: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Заявителей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их права были нарушены тем, что не было обеспечено право принять участие в публичных слушаниях после внесения в проект схемы теплоснабжения изменений. Администрация города Новосибирска обратилась к Вам как к эксперту, чтобы уточнить свою правовую позицию при подготовке отзыва.</w:t>
      </w: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Какие нормы материального права подлежат применению при разрешении спорной ситуации?</w:t>
      </w:r>
    </w:p>
    <w:p w:rsidR="00AF7536" w:rsidRPr="001B06DD" w:rsidRDefault="00AF7536" w:rsidP="00AF753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Необходимо ли проведение третьих публичных слушаний?</w:t>
      </w:r>
    </w:p>
    <w:p w:rsidR="00AF7536" w:rsidRPr="001B06DD" w:rsidRDefault="00AF7536" w:rsidP="00AF753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На какие нормы права Вы порекомендуете сослаться Администрации города Новосибирска при подготовке отзыва? </w:t>
      </w: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 xml:space="preserve">Задача № 13 </w:t>
      </w:r>
    </w:p>
    <w:p w:rsidR="00AF7536" w:rsidRPr="001B06DD" w:rsidRDefault="00AF7536" w:rsidP="00AF7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04.05.2019 между теплоснабжающей организацией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и потребителем                ООО «ЖСТ» заключен договор теплоснабжения со сроком действия до 04.05.2020. Условия договора предусматривают, что при пролонгации, расторжении, а также одностороннем отказе стороны от исполнения договора следует руководствоваться действующим законодательством. При этом данные об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отсутствуют в схеме теплоснабжения.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 </w:t>
      </w:r>
      <w:r w:rsidRPr="001B06DD">
        <w:rPr>
          <w:rFonts w:ascii="Times New Roman" w:hAnsi="Times New Roman" w:cs="Times New Roman"/>
          <w:sz w:val="24"/>
          <w:szCs w:val="24"/>
        </w:rPr>
        <w:tab/>
        <w:t>В период с 04.05.2019 по 31.12.2019 тариф на тепловую энергию для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установлен не был, в отсутствие тарифа оплату за потребленную тепловую энергию                                      ООО «ЖСТ» не производило.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ab/>
        <w:t>01.01.2020 решением уполномоченного органа исполнительной власт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установлен тариф на тепловую энергию, подлежащий применению с 01.01.2020 по 31.12.2020.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ab/>
        <w:t>18.01.2020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направило в адрес ООО «ЖСТ» претензию об оплате стоимости потребленной в период с 04.05.2019 по 31.12.2019 тепловой энергии, применив для расчета суммы задолженности тариф, установленный для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на 2020 год.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ab/>
        <w:t>01.02.2020 в ходе комиссионного обследования представителям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и                 ООО «ЖСТ» установлено несоответствие давления теплоносителя, в силу чего теплоноситель не обеспечивает прогрев здания потребителя, в этот же день составлен соответствующий акт.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Пунктом 7.1.2 договора теплоснабжающая организация обязана поддерживать перепад давления между подающим и обратным трубопроводом в соответствии с расчетными величинами, предусмотренными проектом тепловых сетей и (или) энергетическими характеристиками тепловых сетей, обеспечивать показатели качества теплоснабжения.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Сославшись на несоответствие давления между подающим и обратным трубопроводом,       ООО «ЖСТ» отказалось оплачивать тепловую энергию, с 01.02.2020 до момента обеспечения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параметров качества теплоснабжения, установленных договором.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31.03.2020 ООО «ЖСТ» уведомил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об отказе от пролонгации договора в связи с переходом ООО «ЖСТ» к теплоснабжению непосредственно от собственной котельной.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lastRenderedPageBreak/>
        <w:t>Получив отказ,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уведомил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«ЖСТ» о необходимости возмещения убытков, связанных с переходом от единой теплоснабжающей организации к теплоснабжению непосредственно от источника тепловой энергии в размере, рассчитанном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».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1. Правомерны ли действия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по распространению действия тарифа на тепловую энергию, установленного 01.01.2020 на период с 04.05.2019 по 31.12.2019?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2. Вправе л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«ЖСТ» отказаться от оплаты тепловой энергии, поставленной в период с 01.02.2020 до окончания срока действия договора, учитывая, что качественные характеристики теплоносителя восстановлены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не были?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3. С учетом заявленног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«ЖСТ» отказа, в какой срок договор считается расторгнутым?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4. Имеется л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и у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«ЖСТ» обязанность по возмещению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ТеплоСбыт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убытков, связанных с переходов к теплоснабжению от собственной котельной?</w:t>
      </w:r>
    </w:p>
    <w:p w:rsidR="00AF7536" w:rsidRPr="001B06DD" w:rsidRDefault="00AF7536" w:rsidP="00A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14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Гарантирующим поставщиком, в связи с ненадлежащим исполнением обязательств по оплате электрической энергии (мощности), была инициирована процедура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введения полного ограничения режима потребления электрической энергии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в отношении потребителя - воинская часть Министерства обороны Российской Федерации. Министерство обороны Российской Федерации обратилось к Вам как к эксперту о перспективах судебного разбирательства в связи с  введенными ограничениями.</w:t>
      </w: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Какими нормативными правовыми актами регулируется вопрос о введении полного и (или) частичного ограничения режима потребления электрической энергии?</w:t>
      </w:r>
    </w:p>
    <w:p w:rsidR="00AF7536" w:rsidRPr="001B06DD" w:rsidRDefault="00AF7536" w:rsidP="00AF75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К какой категории потребителей относится воинская часть Министерства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обороны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обязательные требования устанавливает закон при введении в отношении такой категории потребителей режима полного и (или) частичного ограничения потребления электрической энергии?   </w:t>
      </w:r>
    </w:p>
    <w:p w:rsidR="00AF7536" w:rsidRPr="001B06DD" w:rsidRDefault="00AF7536" w:rsidP="00AF75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На каких нормах права может быть основана позиция Министерства обороны Российской Федерации при обращении в суд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36" w:rsidRPr="001B06DD" w:rsidRDefault="00AF7536" w:rsidP="00AF7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15.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организацией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и потребителем электрической энерг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«Тракторный завод» 01.01.2010 был заключен договор энергоснабжения. Срок действия договора определен сторонами до 31.12.2020.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10.06.2020 АО «Тракторный завод» уведомил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о расторжении договора в связи продажей 01.06.2020 всего своего имущества ООО «Автомобильный завод» и заключении новым собственником договора энергоснабжения с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Регионсбыт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». В ответ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» сообщило, что договор энергоснабжения между АО «Тракторный завод»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предусматривает особый порядок одностороннего отказа от договора - необходимость уведомления об одностороннем отказе от договора не менее чем за 30 календарных дней до даты его расторжения. В связи с невыполнением данного условия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считает договор действующим до 31.12.2020. Кроме того, в сообщении отмечено, что договор энергоснабжения межд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</w:t>
      </w:r>
      <w:r w:rsidRPr="001B06DD">
        <w:rPr>
          <w:rFonts w:ascii="Times New Roman" w:hAnsi="Times New Roman" w:cs="Times New Roman"/>
          <w:sz w:val="24"/>
          <w:szCs w:val="24"/>
        </w:rPr>
        <w:lastRenderedPageBreak/>
        <w:t>«Автомобильный завод» и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Регионсбыт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» не может быть заключен до 31.12.2020, поскольку согласно п. 28 Основных положений функционирования розничных рынков электрической энергии, утвержденных постановлением Правительства № 442 от 04.05.2012, в отношении одного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устройства может быть заключен только один договор энергоснабжения.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Какие нормы права подлежат применению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7536" w:rsidRPr="001B06DD" w:rsidRDefault="00AF7536" w:rsidP="00AF75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С какой дат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«Автомобильный завод» вправе заключить договор энергоснабжения в отношении указанного имущества с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Регионсбыт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»?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 xml:space="preserve">Задача № 16 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В целях оптимизации затрат на покупку электрической энергии для собственного производства руководств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Стройдом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рассматривает возможность  заключить договор энергоснабжения с ООО «Цемент», производство которого расположено недалеко от его цехов. При этом ООО «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Стройдом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>» исходило из того факта, чт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«Цемент» уже имеет соответствующие договорные отношения с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организации ООО «ЭСК», обладающей статусом субъекта оптового рынка электрической энергии (мощности).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Переговоры прошли успешно, ООО «Цемент» предложило заключить с условием, что исполнение обязательств по нему начнется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ООО «ЭСК» необходимых изменений в группу точек поставки, зарегистрированную на оптовом рынке в целях снабжения электрической энергией ООО «Цемент». Для принятия окончательного решения о заключении договора пригласили эксперта.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AF7536" w:rsidRPr="001B06DD" w:rsidRDefault="00AF7536" w:rsidP="00AF75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Какими нормы права будет руководствоваться эксперт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F7536" w:rsidRPr="001B06DD" w:rsidRDefault="00AF7536" w:rsidP="00AF75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Исполнимо ли предлагаемое условие договора о внесен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«ЭСК» необходимых изменений в группу точек поставки, зарегистрированную на оптовом рынке в целях снабжения электрической энергией ООО «Цемент»?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17</w:t>
      </w: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ООО «Энергия воды» производило выработку электрической энергии (мощности) на электростанции (установленной мощностью 80 МВт), которая зависит исключительно от использования сооружений, регулирующих уровень воды на внутренних водных путях, и сооружений сброса паводковых вод. ООО «Энергия воды» имея все необходимые разрешения, реализовывало выработанную электрическую энергию на розничном рынке электрической энергии. ООО «Энергия воды» осуществило модернизацию электростанции. В результате произведенной модернизации установленная мощность генерирующего оборудования на указанной ГЭС составила 90 МВт. К Вам обратились как к эксперту, чтобы уточнить права и обязанности по реализации электрической энергии с учетом модернизации электростанции.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Какими нормами права установлены  условия  продажи  электрической энергии на розничном рынке лицом, владеющим на праве собственности или на ином законном генерирующим  объектом установленной мощностью 80 МВт? </w:t>
      </w:r>
    </w:p>
    <w:p w:rsidR="00AF7536" w:rsidRPr="001B06DD" w:rsidRDefault="00AF7536" w:rsidP="00AF75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lastRenderedPageBreak/>
        <w:t>Накладывает ли факт модернизации н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«Энергия воды» какие-либо ограничения в возможности продолжить реализацию производимой электрической энергии на розничном рынке?</w:t>
      </w: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АО «ТГК-25», являющееся субъектом оптового рынка – поставщиком электрической энергии (мощности), продало Новую ГРЭС АО «Генерирующие технологии», после чего заключило с последним агентский договор и продолжило осуществление деятельности по купле-продаже электрической энергии и мощности на оптовом рынке с использованием Новой ГРЭС. АО «АТС» обратилось к Вам, как к эксперту, чтобы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уточнить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не нарушены ли нормы действующего законодательства.</w:t>
      </w: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F7536" w:rsidRPr="001B06DD" w:rsidRDefault="00AF7536" w:rsidP="00AF75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Какими нормами права установлен порядок осуществления торговли на оптовом рынке электрической энергии и мощности.</w:t>
      </w:r>
    </w:p>
    <w:p w:rsidR="00AF7536" w:rsidRPr="001B06DD" w:rsidRDefault="00AF7536" w:rsidP="00AF75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Правомерно ли АО «ТГК-25» продолжает осуществлять торговлю на оптовом рынке?</w:t>
      </w:r>
    </w:p>
    <w:p w:rsidR="00AF7536" w:rsidRPr="001B06DD" w:rsidRDefault="00AF7536" w:rsidP="00AF753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19</w:t>
      </w: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В июне 2020 года генерирующая компания  «Искра» обратилась в Арбитражный суд с исковым заявлением к акционерному обществу "Книжное издательство" о взыскании  задолженности за потребленную тепловую энергию за период с октября по сентябрь - декабрь 2019 года, январь 2020 года. Также Генерирующей компанией «Искра»  заявлено требование о взыскании с ответчика пеней, начиная с 28.03.2020 в размере 1/130 ставки рефинансирования ЦБ РФ по день фактической оплаты основного долга.</w:t>
      </w: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АО «Книжное издательство» расположено в многоэтажном административном здании, в котором одновременно располагаются ФКУ "Уголовно-исполнительная инспекция Управления Федеральной службы исполнения наказания России", ФКУ "Главное бюро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экспертизы" Минтруда России. Единственным акционером Книжного издательства является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Росимущество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100% участие государства). АО «Книжное издательство» обратилось к Вам за консультацией для уточнения своей позиции с учетом  моратория на начисление неустойки за несвоевременную оплату за оказанные коммунальные услуги в период пандемии.</w:t>
      </w: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6B7" w:rsidRPr="001B06DD" w:rsidRDefault="00EB76B7" w:rsidP="00EB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B76B7" w:rsidRPr="001B06DD" w:rsidRDefault="00EB76B7" w:rsidP="00EB76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Каким нормативным правовым актом введен мораторий на начисление неустоек за несвоевременную оплату поставленных энергетических ресурсов в период </w:t>
      </w:r>
      <w:r w:rsidRPr="001B06DD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мер, направленных на противодействие распространению новой </w:t>
      </w:r>
      <w:proofErr w:type="spellStart"/>
      <w:r w:rsidRPr="001B06D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1B06DD">
        <w:rPr>
          <w:rFonts w:ascii="Times New Roman" w:hAnsi="Times New Roman" w:cs="Times New Roman"/>
          <w:bCs/>
          <w:sz w:val="24"/>
          <w:szCs w:val="24"/>
        </w:rPr>
        <w:t xml:space="preserve"> инфекции (COVID-19)</w:t>
      </w:r>
      <w:proofErr w:type="gramStart"/>
      <w:r w:rsidRPr="001B06DD">
        <w:rPr>
          <w:rFonts w:ascii="Times New Roman" w:hAnsi="Times New Roman" w:cs="Times New Roman"/>
          <w:bCs/>
          <w:sz w:val="24"/>
          <w:szCs w:val="24"/>
        </w:rPr>
        <w:t xml:space="preserve"> ?</w:t>
      </w:r>
      <w:proofErr w:type="gramEnd"/>
    </w:p>
    <w:p w:rsidR="00EB76B7" w:rsidRPr="001B06DD" w:rsidRDefault="00EB76B7" w:rsidP="00EB76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1B06DD">
        <w:rPr>
          <w:rFonts w:ascii="Times New Roman" w:hAnsi="Times New Roman" w:cs="Times New Roman"/>
          <w:sz w:val="24"/>
          <w:szCs w:val="24"/>
        </w:rPr>
        <w:t xml:space="preserve"> субъектов распространяется данный нормативный правовой акт?</w:t>
      </w:r>
    </w:p>
    <w:p w:rsidR="00EB76B7" w:rsidRPr="001B06DD" w:rsidRDefault="00EB76B7" w:rsidP="00EB76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Правомерно ли требование генерирующей компании «Искра» о взыскании пеней с АО «Книжное издательство», начиная с 28.03.2020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47A94" w:rsidRDefault="00747A94">
      <w:pPr>
        <w:rPr>
          <w:rFonts w:ascii="Times New Roman" w:hAnsi="Times New Roman" w:cs="Times New Roman"/>
          <w:sz w:val="24"/>
          <w:szCs w:val="24"/>
        </w:rPr>
      </w:pPr>
    </w:p>
    <w:p w:rsidR="001B06DD" w:rsidRPr="001B06DD" w:rsidRDefault="001B06DD">
      <w:pPr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Задача № 20</w:t>
      </w:r>
    </w:p>
    <w:p w:rsidR="001B06DD" w:rsidRP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20 июля 2020 года общим  собранием собственников помещений в многоквартирном доме было принято решение о заключении собственниками прямых договоров с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организацией.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организация обратилась к </w:t>
      </w:r>
      <w:r w:rsidRPr="001B06DD">
        <w:rPr>
          <w:rFonts w:ascii="Times New Roman" w:hAnsi="Times New Roman" w:cs="Times New Roman"/>
          <w:sz w:val="24"/>
          <w:szCs w:val="24"/>
        </w:rPr>
        <w:lastRenderedPageBreak/>
        <w:t xml:space="preserve">эксперту за консультацией о возможности отложить переход на заключение прямых договоров до 1 января 2021 года и уточнением вопроса о том, не повлечет ли такое отложение неблагоприятных последствий для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1B06DD" w:rsidRP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6D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B06DD" w:rsidRPr="001B06DD" w:rsidRDefault="001B06DD" w:rsidP="001B0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06DD" w:rsidRPr="001B06DD" w:rsidRDefault="001B06DD" w:rsidP="001B06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 Какими нормативными правовыми актами будет руководствоваться эксперт?</w:t>
      </w:r>
    </w:p>
    <w:p w:rsidR="001B06DD" w:rsidRPr="001B06DD" w:rsidRDefault="001B06DD" w:rsidP="001B06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Установлены ли сроки для заключения прямых договоров с собственниками помещений в многоквартирном доме?</w:t>
      </w:r>
    </w:p>
    <w:p w:rsidR="001B06DD" w:rsidRPr="001B06DD" w:rsidRDefault="001B06DD" w:rsidP="001B06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>Возможно ли перенести срок заключения прямых договоров</w:t>
      </w:r>
      <w:proofErr w:type="gramStart"/>
      <w:r w:rsidRPr="001B06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B06DD" w:rsidRPr="001B06DD" w:rsidRDefault="001B06DD" w:rsidP="001B06D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6DD">
        <w:rPr>
          <w:rFonts w:ascii="Times New Roman" w:hAnsi="Times New Roman" w:cs="Times New Roman"/>
          <w:sz w:val="24"/>
          <w:szCs w:val="24"/>
        </w:rPr>
        <w:t xml:space="preserve">Предусматривается ли ответственность </w:t>
      </w:r>
      <w:proofErr w:type="spellStart"/>
      <w:r w:rsidRPr="001B06D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1B06DD">
        <w:rPr>
          <w:rFonts w:ascii="Times New Roman" w:hAnsi="Times New Roman" w:cs="Times New Roman"/>
          <w:sz w:val="24"/>
          <w:szCs w:val="24"/>
        </w:rPr>
        <w:t xml:space="preserve"> организации за уклонение от заключения прямых договоров с собственниками помещений в многоквартирном доме?</w:t>
      </w:r>
    </w:p>
    <w:p w:rsidR="001B06DD" w:rsidRPr="001B06DD" w:rsidRDefault="001B06DD" w:rsidP="001B06DD">
      <w:pPr>
        <w:rPr>
          <w:rFonts w:ascii="Times New Roman" w:hAnsi="Times New Roman" w:cs="Times New Roman"/>
          <w:sz w:val="24"/>
          <w:szCs w:val="24"/>
        </w:rPr>
      </w:pPr>
    </w:p>
    <w:p w:rsidR="001B06DD" w:rsidRPr="001B06DD" w:rsidRDefault="001B06DD">
      <w:pPr>
        <w:rPr>
          <w:rFonts w:ascii="Times New Roman" w:hAnsi="Times New Roman" w:cs="Times New Roman"/>
          <w:sz w:val="24"/>
          <w:szCs w:val="24"/>
        </w:rPr>
      </w:pPr>
    </w:p>
    <w:sectPr w:rsidR="001B06DD" w:rsidRPr="001B06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D2" w:rsidRDefault="00B654D2">
      <w:pPr>
        <w:spacing w:after="0" w:line="240" w:lineRule="auto"/>
      </w:pPr>
      <w:r>
        <w:separator/>
      </w:r>
    </w:p>
  </w:endnote>
  <w:endnote w:type="continuationSeparator" w:id="0">
    <w:p w:rsidR="00B654D2" w:rsidRDefault="00B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385452"/>
      <w:docPartObj>
        <w:docPartGallery w:val="Page Numbers (Bottom of Page)"/>
        <w:docPartUnique/>
      </w:docPartObj>
    </w:sdtPr>
    <w:sdtEndPr/>
    <w:sdtContent>
      <w:p w:rsidR="00077DEC" w:rsidRDefault="008F76C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DD">
          <w:rPr>
            <w:noProof/>
          </w:rPr>
          <w:t>12</w:t>
        </w:r>
        <w:r>
          <w:fldChar w:fldCharType="end"/>
        </w:r>
      </w:p>
    </w:sdtContent>
  </w:sdt>
  <w:p w:rsidR="00077DEC" w:rsidRDefault="00B654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D2" w:rsidRDefault="00B654D2">
      <w:pPr>
        <w:spacing w:after="0" w:line="240" w:lineRule="auto"/>
      </w:pPr>
      <w:r>
        <w:separator/>
      </w:r>
    </w:p>
  </w:footnote>
  <w:footnote w:type="continuationSeparator" w:id="0">
    <w:p w:rsidR="00B654D2" w:rsidRDefault="00B6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9E"/>
    <w:multiLevelType w:val="hybridMultilevel"/>
    <w:tmpl w:val="391E7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DC2"/>
    <w:multiLevelType w:val="hybridMultilevel"/>
    <w:tmpl w:val="95B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24E"/>
    <w:multiLevelType w:val="hybridMultilevel"/>
    <w:tmpl w:val="081466BE"/>
    <w:lvl w:ilvl="0" w:tplc="3B2A3A5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414141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1E1D"/>
    <w:multiLevelType w:val="hybridMultilevel"/>
    <w:tmpl w:val="17EC2530"/>
    <w:lvl w:ilvl="0" w:tplc="E1A4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B4B0A"/>
    <w:multiLevelType w:val="hybridMultilevel"/>
    <w:tmpl w:val="8FD4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6189"/>
    <w:multiLevelType w:val="hybridMultilevel"/>
    <w:tmpl w:val="BDF057BA"/>
    <w:lvl w:ilvl="0" w:tplc="F9F0F1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471010"/>
    <w:multiLevelType w:val="hybridMultilevel"/>
    <w:tmpl w:val="C6B8F92E"/>
    <w:lvl w:ilvl="0" w:tplc="00C6050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D3295"/>
    <w:multiLevelType w:val="hybridMultilevel"/>
    <w:tmpl w:val="46B4DAF6"/>
    <w:lvl w:ilvl="0" w:tplc="EC54F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F0466B"/>
    <w:multiLevelType w:val="hybridMultilevel"/>
    <w:tmpl w:val="C7DA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C69C7"/>
    <w:multiLevelType w:val="hybridMultilevel"/>
    <w:tmpl w:val="7F903164"/>
    <w:lvl w:ilvl="0" w:tplc="CB0AC18A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4D5878AD"/>
    <w:multiLevelType w:val="hybridMultilevel"/>
    <w:tmpl w:val="23CED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C597A"/>
    <w:multiLevelType w:val="hybridMultilevel"/>
    <w:tmpl w:val="EE1A1E26"/>
    <w:lvl w:ilvl="0" w:tplc="68CE3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D00E7"/>
    <w:multiLevelType w:val="hybridMultilevel"/>
    <w:tmpl w:val="552276D4"/>
    <w:lvl w:ilvl="0" w:tplc="2C10E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81B45"/>
    <w:multiLevelType w:val="hybridMultilevel"/>
    <w:tmpl w:val="C344BF34"/>
    <w:lvl w:ilvl="0" w:tplc="938A8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B41F3E"/>
    <w:multiLevelType w:val="hybridMultilevel"/>
    <w:tmpl w:val="89B68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A0B6D"/>
    <w:multiLevelType w:val="hybridMultilevel"/>
    <w:tmpl w:val="3830FBAA"/>
    <w:lvl w:ilvl="0" w:tplc="6EF0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C713FD"/>
    <w:multiLevelType w:val="hybridMultilevel"/>
    <w:tmpl w:val="BE7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47"/>
    <w:rsid w:val="001B06DD"/>
    <w:rsid w:val="003A5A47"/>
    <w:rsid w:val="00747A94"/>
    <w:rsid w:val="008F76C1"/>
    <w:rsid w:val="00AF7536"/>
    <w:rsid w:val="00B654D2"/>
    <w:rsid w:val="00E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3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53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2020-09-19T20:32:00Z</dcterms:created>
  <dcterms:modified xsi:type="dcterms:W3CDTF">2020-09-20T13:30:00Z</dcterms:modified>
</cp:coreProperties>
</file>